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0ECB" w14:textId="77777777" w:rsidR="001C2C78" w:rsidRDefault="00000000" w:rsidP="001F7714">
      <w:pPr>
        <w:spacing w:after="0" w:line="240" w:lineRule="auto"/>
        <w:ind w:left="0" w:firstLine="0"/>
      </w:pPr>
      <w:r>
        <w:rPr>
          <w:b/>
        </w:rPr>
        <w:t xml:space="preserve">ARTIST-DIRECT GRANTS </w:t>
      </w:r>
    </w:p>
    <w:p w14:paraId="55866866" w14:textId="16DDDEC9" w:rsidR="001C2C78" w:rsidRDefault="00000000" w:rsidP="001F7714">
      <w:pPr>
        <w:spacing w:after="0" w:line="240" w:lineRule="auto"/>
        <w:ind w:left="-5"/>
      </w:pPr>
      <w:r>
        <w:rPr>
          <w:b/>
        </w:rPr>
        <w:t xml:space="preserve">SUBMISSION WINDOW </w:t>
      </w:r>
      <w:r w:rsidR="00F64AF5">
        <w:rPr>
          <w:b/>
        </w:rPr>
        <w:t>JAN</w:t>
      </w:r>
      <w:r>
        <w:rPr>
          <w:b/>
        </w:rPr>
        <w:t>. 1</w:t>
      </w:r>
      <w:r w:rsidR="00D34EBB">
        <w:rPr>
          <w:b/>
        </w:rPr>
        <w:t xml:space="preserve"> </w:t>
      </w:r>
      <w:r>
        <w:rPr>
          <w:b/>
        </w:rPr>
        <w:t xml:space="preserve">- </w:t>
      </w:r>
      <w:r w:rsidR="00F64AF5">
        <w:rPr>
          <w:b/>
        </w:rPr>
        <w:t>15</w:t>
      </w:r>
      <w:r>
        <w:rPr>
          <w:b/>
        </w:rPr>
        <w:t>, 202</w:t>
      </w:r>
      <w:r w:rsidR="00D34EBB">
        <w:rPr>
          <w:b/>
        </w:rPr>
        <w:t>6</w:t>
      </w:r>
    </w:p>
    <w:p w14:paraId="778CE6DD" w14:textId="2728EC21" w:rsidR="003D31C9" w:rsidRDefault="00000000" w:rsidP="001F7714">
      <w:pPr>
        <w:pStyle w:val="Heading1"/>
        <w:spacing w:line="240" w:lineRule="auto"/>
        <w:ind w:left="-5"/>
      </w:pPr>
      <w:r>
        <w:t>GRANT AMOUNT $5</w:t>
      </w:r>
      <w:r w:rsidR="00D34EBB">
        <w:t>,</w:t>
      </w:r>
      <w:r>
        <w:t xml:space="preserve">000 </w:t>
      </w:r>
    </w:p>
    <w:p w14:paraId="51D41CCC" w14:textId="77777777" w:rsidR="003D31C9" w:rsidRDefault="003D31C9" w:rsidP="001F7714">
      <w:pPr>
        <w:pStyle w:val="Heading1"/>
        <w:spacing w:line="240" w:lineRule="auto"/>
        <w:ind w:left="-5"/>
      </w:pPr>
    </w:p>
    <w:p w14:paraId="205FE50D" w14:textId="7381B39A" w:rsidR="001C2C78" w:rsidRDefault="00000000" w:rsidP="001F7714">
      <w:pPr>
        <w:pStyle w:val="Heading1"/>
        <w:spacing w:line="240" w:lineRule="auto"/>
        <w:ind w:left="-5"/>
      </w:pPr>
      <w:r>
        <w:t xml:space="preserve">GRANT OVERVIEW  </w:t>
      </w:r>
    </w:p>
    <w:p w14:paraId="1C18865D" w14:textId="77777777" w:rsidR="003D31C9" w:rsidRDefault="003D31C9" w:rsidP="001F7714">
      <w:pPr>
        <w:spacing w:after="0" w:line="240" w:lineRule="auto"/>
        <w:ind w:left="-5"/>
      </w:pPr>
    </w:p>
    <w:p w14:paraId="19E2EEF4" w14:textId="2CCB7191" w:rsidR="001C2C78" w:rsidRDefault="00D34EBB" w:rsidP="001F7714">
      <w:pPr>
        <w:spacing w:after="0" w:line="240" w:lineRule="auto"/>
        <w:ind w:left="-5"/>
      </w:pPr>
      <w:r>
        <w:t xml:space="preserve">For the third year in a row, Partners in Art (PIA) is announcing the call for its Artist-Direct Grants. </w:t>
      </w:r>
    </w:p>
    <w:p w14:paraId="31F5C834" w14:textId="4EC665FA" w:rsidR="001C2C78" w:rsidRDefault="00D34EBB" w:rsidP="001F7714">
      <w:pPr>
        <w:spacing w:after="0" w:line="240" w:lineRule="auto"/>
        <w:ind w:left="-5"/>
      </w:pPr>
      <w:r>
        <w:t xml:space="preserve">The Artist-Direct Grant will award funds directly to GTA-based artists who have confirmed exhibitions in Canada between </w:t>
      </w:r>
      <w:r w:rsidR="00F64AF5">
        <w:t>May</w:t>
      </w:r>
      <w:r w:rsidR="003D31C9">
        <w:t xml:space="preserve"> 1, </w:t>
      </w:r>
      <w:r>
        <w:t>2</w:t>
      </w:r>
      <w:r w:rsidR="00F64AF5">
        <w:t>02</w:t>
      </w:r>
      <w:r>
        <w:t xml:space="preserve">6 </w:t>
      </w:r>
      <w:r w:rsidR="00F64AF5">
        <w:t>- May</w:t>
      </w:r>
      <w:r w:rsidR="003D31C9">
        <w:t xml:space="preserve"> 1,</w:t>
      </w:r>
      <w:r>
        <w:t xml:space="preserve"> 2027.</w:t>
      </w:r>
    </w:p>
    <w:p w14:paraId="4A1CD685" w14:textId="77777777" w:rsidR="003D31C9" w:rsidRDefault="003D31C9" w:rsidP="001F7714">
      <w:pPr>
        <w:spacing w:after="0" w:line="240" w:lineRule="auto"/>
        <w:ind w:left="-5"/>
      </w:pPr>
    </w:p>
    <w:p w14:paraId="37B112E5" w14:textId="301BE08E" w:rsidR="007C1D88" w:rsidRDefault="00000000" w:rsidP="007C1D88">
      <w:pPr>
        <w:spacing w:after="0" w:line="240" w:lineRule="auto"/>
        <w:ind w:left="-5"/>
      </w:pPr>
      <w:r>
        <w:t xml:space="preserve">The goal of PIA’s Artist-Direct Grants is to provide funds directly to artists to cover supplies, studio rentals, exhibition expenses, </w:t>
      </w:r>
      <w:r w:rsidR="00B57B12">
        <w:t xml:space="preserve">and </w:t>
      </w:r>
      <w:r>
        <w:t>production costs</w:t>
      </w:r>
      <w:r w:rsidR="00B57B12">
        <w:t>.</w:t>
      </w:r>
      <w:r>
        <w:t xml:space="preserve"> </w:t>
      </w:r>
      <w:r w:rsidR="00B57B12">
        <w:t>U</w:t>
      </w:r>
      <w:r>
        <w:t>p to 50% of the grant can be used to pay for their time and labo</w:t>
      </w:r>
      <w:r w:rsidR="00B57B12">
        <w:t>u</w:t>
      </w:r>
      <w:r>
        <w:t>r.</w:t>
      </w:r>
      <w:r w:rsidR="007C1D88">
        <w:t xml:space="preserve"> </w:t>
      </w:r>
      <w:r w:rsidR="007C1D88" w:rsidRPr="00FF6DFD">
        <w:t>A total of ten eligible artists, five emerging and five mid-career, will receive PIA’s Artist-Direct grant in 2026.</w:t>
      </w:r>
    </w:p>
    <w:p w14:paraId="5E84A9E2" w14:textId="77777777" w:rsidR="003D31C9" w:rsidRDefault="003D31C9" w:rsidP="001F7714">
      <w:pPr>
        <w:spacing w:after="0" w:line="240" w:lineRule="auto"/>
        <w:ind w:left="-5"/>
      </w:pPr>
    </w:p>
    <w:p w14:paraId="27ABA1F3" w14:textId="06D0732B" w:rsidR="003D31C9" w:rsidRDefault="00000000" w:rsidP="00D114E3">
      <w:pPr>
        <w:spacing w:after="0" w:line="240" w:lineRule="auto"/>
        <w:ind w:left="-5"/>
      </w:pPr>
      <w:r>
        <w:t xml:space="preserve">Please email </w:t>
      </w:r>
      <w:r>
        <w:rPr>
          <w:u w:val="single" w:color="000000"/>
        </w:rPr>
        <w:t>artistdirect@partnersinart.ca</w:t>
      </w:r>
      <w:r>
        <w:t xml:space="preserve"> for any questions pertaining to this program. </w:t>
      </w:r>
    </w:p>
    <w:p w14:paraId="31C50786" w14:textId="77777777" w:rsidR="003D31C9" w:rsidRDefault="003D31C9" w:rsidP="001F7714">
      <w:pPr>
        <w:pStyle w:val="Heading1"/>
        <w:spacing w:line="240" w:lineRule="auto"/>
        <w:ind w:left="-5"/>
      </w:pPr>
    </w:p>
    <w:p w14:paraId="39102F8D" w14:textId="7199BBC2" w:rsidR="003D31C9" w:rsidRDefault="00000000" w:rsidP="001F7714">
      <w:pPr>
        <w:pStyle w:val="Heading1"/>
        <w:spacing w:line="240" w:lineRule="auto"/>
        <w:ind w:left="-5"/>
      </w:pPr>
      <w:r>
        <w:t xml:space="preserve">ELIGIBILITY + EXPENSES + ASSESSMENT  </w:t>
      </w:r>
    </w:p>
    <w:p w14:paraId="5336ABCD" w14:textId="77777777" w:rsidR="003D31C9" w:rsidRDefault="003D31C9" w:rsidP="001F7714">
      <w:pPr>
        <w:pStyle w:val="Heading1"/>
        <w:spacing w:line="240" w:lineRule="auto"/>
        <w:ind w:left="-5"/>
      </w:pPr>
    </w:p>
    <w:p w14:paraId="5C046D30" w14:textId="3CFD0F09" w:rsidR="001C2C78" w:rsidRDefault="00000000" w:rsidP="001F7714">
      <w:pPr>
        <w:pStyle w:val="Heading1"/>
        <w:spacing w:line="240" w:lineRule="auto"/>
        <w:ind w:left="-5"/>
      </w:pPr>
      <w:r>
        <w:t>Eligible Applicants</w:t>
      </w:r>
      <w:r>
        <w:rPr>
          <w:b w:val="0"/>
        </w:rPr>
        <w:t xml:space="preserve"> </w:t>
      </w:r>
    </w:p>
    <w:p w14:paraId="30DDB237" w14:textId="31EA30B4" w:rsidR="001C2C78" w:rsidRDefault="00000000" w:rsidP="001F7714">
      <w:pPr>
        <w:numPr>
          <w:ilvl w:val="0"/>
          <w:numId w:val="1"/>
        </w:numPr>
        <w:spacing w:after="0" w:line="240" w:lineRule="auto"/>
        <w:ind w:hanging="240"/>
      </w:pPr>
      <w:r>
        <w:t xml:space="preserve">Canadian (citizens or permanent residents) visual artists who have a confirmed, upcoming public exhibition in Canada </w:t>
      </w:r>
      <w:r w:rsidR="00DD35D2">
        <w:t xml:space="preserve">which </w:t>
      </w:r>
      <w:r w:rsidR="00DD35D2" w:rsidRPr="00DD35D2">
        <w:rPr>
          <w:szCs w:val="22"/>
        </w:rPr>
        <w:t>must</w:t>
      </w:r>
      <w:r w:rsidR="00DD35D2" w:rsidRPr="00DD35D2">
        <w:rPr>
          <w:spacing w:val="-7"/>
          <w:szCs w:val="22"/>
        </w:rPr>
        <w:t xml:space="preserve"> </w:t>
      </w:r>
      <w:r w:rsidR="00DD35D2" w:rsidRPr="00DD35D2">
        <w:rPr>
          <w:szCs w:val="22"/>
        </w:rPr>
        <w:t>open</w:t>
      </w:r>
      <w:r w:rsidR="00DD35D2" w:rsidRPr="00DD35D2">
        <w:rPr>
          <w:spacing w:val="-3"/>
          <w:szCs w:val="22"/>
        </w:rPr>
        <w:t xml:space="preserve"> </w:t>
      </w:r>
      <w:r w:rsidR="00E70BC2">
        <w:rPr>
          <w:szCs w:val="22"/>
        </w:rPr>
        <w:t>after</w:t>
      </w:r>
      <w:r w:rsidR="00DD35D2" w:rsidRPr="00DD35D2">
        <w:rPr>
          <w:spacing w:val="-2"/>
          <w:szCs w:val="22"/>
        </w:rPr>
        <w:t xml:space="preserve"> </w:t>
      </w:r>
      <w:r w:rsidR="00DD35D2" w:rsidRPr="00DD35D2">
        <w:rPr>
          <w:szCs w:val="22"/>
        </w:rPr>
        <w:t>May</w:t>
      </w:r>
      <w:r w:rsidR="00DD35D2" w:rsidRPr="00DD35D2">
        <w:rPr>
          <w:spacing w:val="-5"/>
          <w:szCs w:val="22"/>
        </w:rPr>
        <w:t xml:space="preserve"> 1, </w:t>
      </w:r>
      <w:r w:rsidR="00DD35D2" w:rsidRPr="00DD35D2">
        <w:rPr>
          <w:szCs w:val="22"/>
        </w:rPr>
        <w:t>2026</w:t>
      </w:r>
      <w:r w:rsidR="00DD35D2" w:rsidRPr="00DD35D2">
        <w:rPr>
          <w:spacing w:val="2"/>
          <w:szCs w:val="22"/>
        </w:rPr>
        <w:t xml:space="preserve"> and close by </w:t>
      </w:r>
      <w:r w:rsidR="00DD35D2" w:rsidRPr="00DD35D2">
        <w:rPr>
          <w:szCs w:val="22"/>
        </w:rPr>
        <w:t>May</w:t>
      </w:r>
      <w:r w:rsidR="00DD35D2" w:rsidRPr="00DD35D2">
        <w:rPr>
          <w:spacing w:val="-4"/>
          <w:szCs w:val="22"/>
        </w:rPr>
        <w:t xml:space="preserve"> 1, </w:t>
      </w:r>
      <w:r w:rsidR="00DD35D2" w:rsidRPr="00DD35D2">
        <w:rPr>
          <w:spacing w:val="-2"/>
          <w:szCs w:val="22"/>
        </w:rPr>
        <w:t>2027.</w:t>
      </w:r>
    </w:p>
    <w:p w14:paraId="440AB169" w14:textId="2A1332D5" w:rsidR="001C2C78" w:rsidRDefault="00000000" w:rsidP="001F7714">
      <w:pPr>
        <w:numPr>
          <w:ilvl w:val="0"/>
          <w:numId w:val="1"/>
        </w:numPr>
        <w:spacing w:after="0" w:line="240" w:lineRule="auto"/>
        <w:ind w:hanging="240"/>
      </w:pPr>
      <w:r>
        <w:t>Applicants must live in the Greater Toronto Area</w:t>
      </w:r>
      <w:r w:rsidR="000A235F">
        <w:t xml:space="preserve"> at the time of application</w:t>
      </w:r>
      <w:r>
        <w:t xml:space="preserve"> (see </w:t>
      </w:r>
      <w:r w:rsidR="00A44349">
        <w:t>D</w:t>
      </w:r>
      <w:r>
        <w:t xml:space="preserve">efinitions on </w:t>
      </w:r>
      <w:r w:rsidR="00A44349">
        <w:t>P</w:t>
      </w:r>
      <w:r>
        <w:t>age 3)</w:t>
      </w:r>
      <w:r w:rsidR="007C1D88">
        <w:t>.</w:t>
      </w:r>
    </w:p>
    <w:p w14:paraId="6944E348" w14:textId="66D845CA" w:rsidR="001C2C78" w:rsidRDefault="00000000" w:rsidP="001F7714">
      <w:pPr>
        <w:numPr>
          <w:ilvl w:val="0"/>
          <w:numId w:val="1"/>
        </w:numPr>
        <w:spacing w:after="0" w:line="240" w:lineRule="auto"/>
        <w:ind w:hanging="240"/>
      </w:pPr>
      <w:r>
        <w:t>Confirmed exhibitions may be hosted by public art galleries, not-for-profit galleries/artist-run centres, DIY spaces, commercial art galleries and other public spaces</w:t>
      </w:r>
      <w:r w:rsidR="00DD35D2">
        <w:t>.</w:t>
      </w:r>
    </w:p>
    <w:p w14:paraId="0F9C4905" w14:textId="0BFD59A5" w:rsidR="000A235F" w:rsidRDefault="000A235F" w:rsidP="001F7714">
      <w:pPr>
        <w:numPr>
          <w:ilvl w:val="0"/>
          <w:numId w:val="1"/>
        </w:numPr>
        <w:spacing w:after="0" w:line="240" w:lineRule="auto"/>
        <w:ind w:hanging="240"/>
      </w:pPr>
      <w:r>
        <w:t>Self-identify as an emerging or mid-career artist (see definitions). This grant maintains a cut-off of 15 years of professional exhibition history to categorize yourself as emerging or mid-career</w:t>
      </w:r>
      <w:r w:rsidR="007C1D88">
        <w:t>.</w:t>
      </w:r>
      <w:r w:rsidR="001F7714">
        <w:t xml:space="preserve"> </w:t>
      </w:r>
    </w:p>
    <w:p w14:paraId="12D02EB4" w14:textId="6218CDD1" w:rsidR="001C2C78" w:rsidRDefault="00000000" w:rsidP="001F7714">
      <w:pPr>
        <w:numPr>
          <w:ilvl w:val="0"/>
          <w:numId w:val="1"/>
        </w:numPr>
        <w:spacing w:after="0" w:line="240" w:lineRule="auto"/>
        <w:ind w:hanging="240"/>
      </w:pPr>
      <w:r>
        <w:t>Applicants must have creative control over the project and hold copyright to the proposed work</w:t>
      </w:r>
      <w:r w:rsidR="007C1D88">
        <w:t>.</w:t>
      </w:r>
      <w:r>
        <w:t xml:space="preserve"> </w:t>
      </w:r>
    </w:p>
    <w:p w14:paraId="579C784B" w14:textId="52B9EA3C" w:rsidR="001C2C78" w:rsidRDefault="00000000" w:rsidP="001F7714">
      <w:pPr>
        <w:numPr>
          <w:ilvl w:val="0"/>
          <w:numId w:val="1"/>
        </w:numPr>
        <w:spacing w:after="0" w:line="240" w:lineRule="auto"/>
        <w:ind w:hanging="240"/>
      </w:pPr>
      <w:r>
        <w:t>Solo or group exhibitions are both eligible</w:t>
      </w:r>
      <w:r w:rsidR="007C1D88">
        <w:t>.</w:t>
      </w:r>
    </w:p>
    <w:p w14:paraId="60E85FE8" w14:textId="7B7F1226" w:rsidR="001C2C78" w:rsidRDefault="00000000" w:rsidP="00DD35D2">
      <w:pPr>
        <w:numPr>
          <w:ilvl w:val="0"/>
          <w:numId w:val="1"/>
        </w:numPr>
        <w:spacing w:after="0" w:line="240" w:lineRule="auto"/>
        <w:ind w:hanging="240"/>
      </w:pPr>
      <w:r>
        <w:t>Collaborative or collective applicants will be considered as one applicant.</w:t>
      </w:r>
    </w:p>
    <w:p w14:paraId="443AC9C3" w14:textId="77777777" w:rsidR="003D31C9" w:rsidRDefault="003D31C9" w:rsidP="001F7714">
      <w:pPr>
        <w:pStyle w:val="Heading1"/>
        <w:spacing w:line="240" w:lineRule="auto"/>
        <w:ind w:left="-5"/>
      </w:pPr>
    </w:p>
    <w:p w14:paraId="29FE24FC" w14:textId="77777777" w:rsidR="003D31C9" w:rsidRDefault="003D31C9" w:rsidP="001F7714">
      <w:pPr>
        <w:pStyle w:val="Heading1"/>
        <w:spacing w:line="240" w:lineRule="auto"/>
        <w:ind w:left="-5"/>
      </w:pPr>
    </w:p>
    <w:p w14:paraId="4DB433ED" w14:textId="1E5B2744" w:rsidR="001C2C78" w:rsidRDefault="00000000" w:rsidP="001F7714">
      <w:pPr>
        <w:pStyle w:val="Heading1"/>
        <w:spacing w:line="240" w:lineRule="auto"/>
        <w:ind w:left="-5"/>
      </w:pPr>
      <w:r>
        <w:t xml:space="preserve">Ineligible Applicants </w:t>
      </w:r>
    </w:p>
    <w:p w14:paraId="1538F37A" w14:textId="77777777" w:rsidR="001C2C78" w:rsidRDefault="00000000" w:rsidP="001F7714">
      <w:pPr>
        <w:spacing w:after="0" w:line="240" w:lineRule="auto"/>
        <w:ind w:left="225" w:hanging="240"/>
      </w:pPr>
      <w:r>
        <w:rPr>
          <w:sz w:val="26"/>
        </w:rPr>
        <w:t xml:space="preserve">- </w:t>
      </w:r>
      <w:r>
        <w:t xml:space="preserve">Undergraduate, graduate, or doctorate students enrolled full-time at an educational </w:t>
      </w:r>
      <w:proofErr w:type="gramStart"/>
      <w:r>
        <w:t>institution.*</w:t>
      </w:r>
      <w:proofErr w:type="gramEnd"/>
    </w:p>
    <w:p w14:paraId="6EA66C5D" w14:textId="3485D477" w:rsidR="003D31C9" w:rsidRPr="003D31C9" w:rsidRDefault="003D31C9" w:rsidP="001F7714">
      <w:pPr>
        <w:spacing w:after="0" w:line="240" w:lineRule="auto"/>
        <w:ind w:left="-15" w:firstLine="0"/>
        <w:rPr>
          <w:i/>
        </w:rPr>
      </w:pPr>
      <w:r>
        <w:rPr>
          <w:i/>
        </w:rPr>
        <w:t xml:space="preserve">* Continuing studies or part-time students </w:t>
      </w:r>
      <w:r>
        <w:rPr>
          <w:i/>
          <w:u w:val="single" w:color="000000"/>
        </w:rPr>
        <w:t>contact PIA</w:t>
      </w:r>
      <w:r>
        <w:rPr>
          <w:i/>
        </w:rPr>
        <w:t xml:space="preserve"> to confirm </w:t>
      </w:r>
      <w:r w:rsidR="007C1D88">
        <w:rPr>
          <w:i/>
        </w:rPr>
        <w:t>eligibility.</w:t>
      </w:r>
    </w:p>
    <w:p w14:paraId="6DEA465A" w14:textId="4E98AB72" w:rsidR="003D31C9" w:rsidRDefault="003D31C9" w:rsidP="001F7714">
      <w:pPr>
        <w:spacing w:after="0" w:line="240" w:lineRule="auto"/>
        <w:ind w:left="225" w:hanging="240"/>
      </w:pPr>
      <w:r>
        <w:t>- If you were a recipient of a 202</w:t>
      </w:r>
      <w:r w:rsidR="007C1D88">
        <w:t>5</w:t>
      </w:r>
      <w:r>
        <w:t xml:space="preserve"> Artist-Direct Grant</w:t>
      </w:r>
      <w:r w:rsidR="007C1D88">
        <w:t>,</w:t>
      </w:r>
      <w:r>
        <w:t xml:space="preserve"> we ask you wait one calendar year to apply again. </w:t>
      </w:r>
    </w:p>
    <w:p w14:paraId="128CFDAF" w14:textId="77777777" w:rsidR="003D31C9" w:rsidRDefault="003D31C9" w:rsidP="001F7714">
      <w:pPr>
        <w:spacing w:after="0" w:line="240" w:lineRule="auto"/>
        <w:ind w:left="0" w:firstLine="0"/>
      </w:pPr>
    </w:p>
    <w:p w14:paraId="4CE7CD98" w14:textId="77777777" w:rsidR="003D31C9" w:rsidRDefault="003D31C9" w:rsidP="001F7714">
      <w:pPr>
        <w:spacing w:after="0" w:line="240" w:lineRule="auto"/>
        <w:ind w:left="0" w:firstLine="0"/>
      </w:pPr>
    </w:p>
    <w:p w14:paraId="10F1BC1A" w14:textId="77777777" w:rsidR="001C2C78" w:rsidRDefault="00000000" w:rsidP="001F7714">
      <w:pPr>
        <w:pStyle w:val="Heading1"/>
        <w:spacing w:line="240" w:lineRule="auto"/>
        <w:ind w:left="0" w:firstLine="0"/>
      </w:pPr>
      <w:r>
        <w:t>Ineligible Exhibitions</w:t>
      </w:r>
      <w:r>
        <w:rPr>
          <w:b w:val="0"/>
        </w:rPr>
        <w:t xml:space="preserve"> </w:t>
      </w:r>
    </w:p>
    <w:p w14:paraId="24C9FBA0" w14:textId="0A7A2DBE" w:rsidR="001C2C78" w:rsidRDefault="00000000" w:rsidP="001F7714">
      <w:pPr>
        <w:numPr>
          <w:ilvl w:val="0"/>
          <w:numId w:val="2"/>
        </w:numPr>
        <w:spacing w:after="0" w:line="240" w:lineRule="auto"/>
        <w:ind w:hanging="240"/>
      </w:pPr>
      <w:r>
        <w:t>Exhibitions in venues that are not open to the public</w:t>
      </w:r>
    </w:p>
    <w:p w14:paraId="73C6FC38" w14:textId="1FDD5E5F" w:rsidR="001C2C78" w:rsidRDefault="00000000" w:rsidP="001F7714">
      <w:pPr>
        <w:numPr>
          <w:ilvl w:val="0"/>
          <w:numId w:val="2"/>
        </w:numPr>
        <w:spacing w:after="0" w:line="240" w:lineRule="auto"/>
        <w:ind w:hanging="240"/>
      </w:pPr>
      <w:r>
        <w:lastRenderedPageBreak/>
        <w:t>Fundraising projects</w:t>
      </w:r>
    </w:p>
    <w:p w14:paraId="6365ACBB" w14:textId="5A766D2F" w:rsidR="002F0B2C" w:rsidRDefault="002F0B2C" w:rsidP="001F7714">
      <w:pPr>
        <w:numPr>
          <w:ilvl w:val="0"/>
          <w:numId w:val="2"/>
        </w:numPr>
        <w:spacing w:after="0" w:line="240" w:lineRule="auto"/>
        <w:ind w:hanging="240"/>
      </w:pPr>
      <w:r>
        <w:t>Art fairs</w:t>
      </w:r>
    </w:p>
    <w:p w14:paraId="33C6DB0B" w14:textId="0C399397" w:rsidR="001C2C78" w:rsidRDefault="00000000" w:rsidP="001F7714">
      <w:pPr>
        <w:numPr>
          <w:ilvl w:val="0"/>
          <w:numId w:val="2"/>
        </w:numPr>
        <w:spacing w:after="0" w:line="240" w:lineRule="auto"/>
        <w:ind w:hanging="240"/>
      </w:pPr>
      <w:r>
        <w:t>Publications or books without an accompanying exhibition</w:t>
      </w:r>
    </w:p>
    <w:p w14:paraId="6ECE01A5" w14:textId="17DFB8DD" w:rsidR="001C2C78" w:rsidRDefault="00000000" w:rsidP="001F7714">
      <w:pPr>
        <w:numPr>
          <w:ilvl w:val="0"/>
          <w:numId w:val="2"/>
        </w:numPr>
        <w:spacing w:after="0" w:line="240" w:lineRule="auto"/>
        <w:ind w:hanging="240"/>
      </w:pPr>
      <w:r>
        <w:t>Exhibitions presented for credit in a secondary, post-secondary, graduate or doctorate programs</w:t>
      </w:r>
    </w:p>
    <w:p w14:paraId="4F40BF92" w14:textId="71881704" w:rsidR="003D31C9" w:rsidRDefault="00000000" w:rsidP="00C80C3F">
      <w:pPr>
        <w:numPr>
          <w:ilvl w:val="0"/>
          <w:numId w:val="2"/>
        </w:numPr>
        <w:spacing w:after="0" w:line="240" w:lineRule="auto"/>
        <w:ind w:hanging="240"/>
      </w:pPr>
      <w:r>
        <w:t>Virtual or online exhibitions</w:t>
      </w:r>
    </w:p>
    <w:p w14:paraId="4712C577" w14:textId="77777777" w:rsidR="003D31C9" w:rsidRPr="003D31C9" w:rsidRDefault="003D31C9" w:rsidP="001F7714">
      <w:pPr>
        <w:spacing w:after="0" w:line="240" w:lineRule="auto"/>
      </w:pPr>
    </w:p>
    <w:p w14:paraId="1514EF80" w14:textId="12227720" w:rsidR="001C2C78" w:rsidRDefault="00000000" w:rsidP="001F7714">
      <w:pPr>
        <w:pStyle w:val="Heading1"/>
        <w:spacing w:line="240" w:lineRule="auto"/>
        <w:ind w:left="-5"/>
      </w:pPr>
      <w:r>
        <w:t>Expenses</w:t>
      </w:r>
      <w:r>
        <w:rPr>
          <w:b w:val="0"/>
        </w:rPr>
        <w:t xml:space="preserve"> </w:t>
      </w:r>
    </w:p>
    <w:p w14:paraId="23FFA5D3" w14:textId="07208BCC" w:rsidR="003D31C9" w:rsidRDefault="00000000" w:rsidP="001F7714">
      <w:pPr>
        <w:spacing w:after="0" w:line="240" w:lineRule="auto"/>
        <w:ind w:left="-5"/>
      </w:pPr>
      <w:r>
        <w:t xml:space="preserve">Funds from the Artist-Direct Grant should be used for the creation of </w:t>
      </w:r>
      <w:r w:rsidRPr="003D31C9">
        <w:rPr>
          <w:b/>
          <w:bCs/>
        </w:rPr>
        <w:t>new work</w:t>
      </w:r>
      <w:r>
        <w:t xml:space="preserve"> and for artists to pay themselves for their time. Up to 50% of the grant</w:t>
      </w:r>
      <w:r w:rsidR="00402474">
        <w:t xml:space="preserve"> </w:t>
      </w:r>
      <w:r>
        <w:t xml:space="preserve">can be </w:t>
      </w:r>
      <w:r w:rsidR="009350EC">
        <w:t>allocated</w:t>
      </w:r>
      <w:r>
        <w:t xml:space="preserve"> as an artist fee. Materials, production costs, framing, and fees associated with producing an exhibition are all eligible. </w:t>
      </w:r>
      <w:r w:rsidR="003D31C9">
        <w:t xml:space="preserve">This grant is not in lieu of the exhibiting gallery paying appropriate artist/commission fees. </w:t>
      </w:r>
    </w:p>
    <w:p w14:paraId="5F34CFA6" w14:textId="21895B08" w:rsidR="001C2C78" w:rsidRDefault="001C2C78" w:rsidP="001F7714">
      <w:pPr>
        <w:spacing w:after="0" w:line="240" w:lineRule="auto"/>
        <w:ind w:left="-5"/>
      </w:pPr>
    </w:p>
    <w:p w14:paraId="26860F4F" w14:textId="77777777" w:rsidR="003D31C9" w:rsidRDefault="003D31C9" w:rsidP="001F7714">
      <w:pPr>
        <w:pStyle w:val="Heading2"/>
        <w:spacing w:line="240" w:lineRule="auto"/>
      </w:pPr>
    </w:p>
    <w:p w14:paraId="080EFE75" w14:textId="02021FAE" w:rsidR="001C2C78" w:rsidRDefault="00000000" w:rsidP="001F7714">
      <w:pPr>
        <w:pStyle w:val="Heading2"/>
        <w:spacing w:line="240" w:lineRule="auto"/>
      </w:pPr>
      <w:r>
        <w:t>Full Expense Eligibility</w:t>
      </w:r>
      <w:r>
        <w:rPr>
          <w:u w:val="none"/>
        </w:rPr>
        <w:t xml:space="preserve"> </w:t>
      </w:r>
    </w:p>
    <w:p w14:paraId="4244783D" w14:textId="77777777" w:rsidR="001C2C78" w:rsidRDefault="00000000" w:rsidP="001F7714">
      <w:pPr>
        <w:spacing w:after="0" w:line="240" w:lineRule="auto"/>
        <w:ind w:left="-5"/>
      </w:pPr>
      <w:r>
        <w:t xml:space="preserve">Eligible expenses include costs associated with visual arts practices including painting, drawing, printmaking, installation, sculpture, performance art, craft, video, new media, photography and electronic media:  </w:t>
      </w:r>
    </w:p>
    <w:p w14:paraId="57C59CAB" w14:textId="3038F87E" w:rsidR="001C2C78" w:rsidRDefault="005C01BC" w:rsidP="001F7714">
      <w:pPr>
        <w:numPr>
          <w:ilvl w:val="0"/>
          <w:numId w:val="4"/>
        </w:numPr>
        <w:spacing w:after="0" w:line="240" w:lineRule="auto"/>
        <w:ind w:hanging="240"/>
      </w:pPr>
      <w:r>
        <w:t>Material, supplies, production</w:t>
      </w:r>
      <w:r w:rsidR="003D31C9">
        <w:t xml:space="preserve">, production assistance, </w:t>
      </w:r>
      <w:r>
        <w:t>and post-production costs</w:t>
      </w:r>
    </w:p>
    <w:p w14:paraId="53182429" w14:textId="18D4FF10" w:rsidR="001C2C78" w:rsidRDefault="005C01BC" w:rsidP="001F7714">
      <w:pPr>
        <w:numPr>
          <w:ilvl w:val="0"/>
          <w:numId w:val="4"/>
        </w:numPr>
        <w:spacing w:after="0" w:line="240" w:lineRule="auto"/>
        <w:ind w:hanging="240"/>
      </w:pPr>
      <w:r>
        <w:t>Studio space or equipment rental</w:t>
      </w:r>
    </w:p>
    <w:p w14:paraId="60302324" w14:textId="26E8DC07" w:rsidR="001C2C78" w:rsidRDefault="005C01BC" w:rsidP="001F7714">
      <w:pPr>
        <w:numPr>
          <w:ilvl w:val="0"/>
          <w:numId w:val="4"/>
        </w:numPr>
        <w:spacing w:after="0" w:line="240" w:lineRule="auto"/>
        <w:ind w:hanging="240"/>
      </w:pPr>
      <w:r>
        <w:t>Purchase of small-scale equipment, software, electronics and similar materials required to carry out the projects</w:t>
      </w:r>
    </w:p>
    <w:p w14:paraId="32EAE521" w14:textId="7424876C" w:rsidR="00405BAF" w:rsidRDefault="005C01BC" w:rsidP="001F7714">
      <w:pPr>
        <w:numPr>
          <w:ilvl w:val="0"/>
          <w:numId w:val="4"/>
        </w:numPr>
        <w:spacing w:after="0" w:line="240" w:lineRule="auto"/>
        <w:ind w:hanging="240"/>
      </w:pPr>
      <w:r>
        <w:t>Exhibition presentation costs (shipping, crating, installation and framing)</w:t>
      </w:r>
    </w:p>
    <w:p w14:paraId="31C10BA6" w14:textId="29B6A7C9" w:rsidR="001C2C78" w:rsidRDefault="005C01BC" w:rsidP="001F7714">
      <w:pPr>
        <w:numPr>
          <w:ilvl w:val="0"/>
          <w:numId w:val="4"/>
        </w:numPr>
        <w:spacing w:after="0" w:line="240" w:lineRule="auto"/>
        <w:ind w:hanging="240"/>
      </w:pPr>
      <w:r>
        <w:t xml:space="preserve">Artist fees (up to </w:t>
      </w:r>
      <w:r w:rsidR="00402474">
        <w:t>50%</w:t>
      </w:r>
      <w:r>
        <w:t>)</w:t>
      </w:r>
      <w:r w:rsidR="003D31C9">
        <w:t>. Artist fees from this grant can only be paid out to the applying artists, production assistance is also eligible</w:t>
      </w:r>
    </w:p>
    <w:p w14:paraId="032A34DE" w14:textId="77777777" w:rsidR="003D31C9" w:rsidRDefault="003D31C9" w:rsidP="001F7714">
      <w:pPr>
        <w:pStyle w:val="Heading1"/>
        <w:spacing w:line="240" w:lineRule="auto"/>
        <w:ind w:left="-5"/>
      </w:pPr>
    </w:p>
    <w:p w14:paraId="2AD9F07E" w14:textId="77777777" w:rsidR="001F7714" w:rsidRDefault="001F7714" w:rsidP="001F7714">
      <w:pPr>
        <w:pStyle w:val="Heading1"/>
        <w:spacing w:line="240" w:lineRule="auto"/>
        <w:ind w:left="-5"/>
      </w:pPr>
    </w:p>
    <w:p w14:paraId="58FD15AD" w14:textId="25E705E5" w:rsidR="001C2C78" w:rsidRDefault="00000000" w:rsidP="001F7714">
      <w:pPr>
        <w:pStyle w:val="Heading1"/>
        <w:spacing w:line="240" w:lineRule="auto"/>
        <w:ind w:left="-5"/>
      </w:pPr>
      <w:r>
        <w:t xml:space="preserve">Activity Timing </w:t>
      </w:r>
    </w:p>
    <w:p w14:paraId="5CF75F40" w14:textId="64D2B3F0" w:rsidR="00F64AF5" w:rsidRDefault="00000000" w:rsidP="001F7714">
      <w:pPr>
        <w:spacing w:after="0" w:line="240" w:lineRule="auto"/>
        <w:ind w:left="-5" w:right="3899"/>
      </w:pPr>
      <w:r>
        <w:t xml:space="preserve">Successful candidates will be notified </w:t>
      </w:r>
      <w:r w:rsidR="003D31C9">
        <w:t xml:space="preserve">by </w:t>
      </w:r>
      <w:r w:rsidR="00F64AF5">
        <w:t>May</w:t>
      </w:r>
      <w:r w:rsidR="003D31C9">
        <w:t xml:space="preserve"> 1</w:t>
      </w:r>
      <w:r w:rsidR="00F64AF5">
        <w:t>,</w:t>
      </w:r>
      <w:r>
        <w:t xml:space="preserve"> 202</w:t>
      </w:r>
      <w:r w:rsidR="00C1774F">
        <w:t>6</w:t>
      </w:r>
      <w:r w:rsidR="003D31C9">
        <w:t>.</w:t>
      </w:r>
      <w:r>
        <w:t xml:space="preserve"> </w:t>
      </w:r>
    </w:p>
    <w:p w14:paraId="00357BFF" w14:textId="401E1423" w:rsidR="001C2C78" w:rsidRDefault="00000000" w:rsidP="001F7714">
      <w:pPr>
        <w:spacing w:after="0" w:line="240" w:lineRule="auto"/>
        <w:ind w:left="-5" w:right="3899"/>
      </w:pPr>
      <w:r>
        <w:t xml:space="preserve">The activity for which you are requesting funding: </w:t>
      </w:r>
    </w:p>
    <w:p w14:paraId="1EE29990" w14:textId="01BE1B31" w:rsidR="001C2C78" w:rsidRDefault="00000000" w:rsidP="001F7714">
      <w:pPr>
        <w:numPr>
          <w:ilvl w:val="0"/>
          <w:numId w:val="5"/>
        </w:numPr>
        <w:spacing w:after="0" w:line="240" w:lineRule="auto"/>
        <w:ind w:hanging="240"/>
      </w:pPr>
      <w:r>
        <w:t xml:space="preserve">exhibition cannot start before </w:t>
      </w:r>
      <w:r w:rsidR="00F64AF5">
        <w:t>May 1, 202</w:t>
      </w:r>
      <w:r w:rsidR="00C1774F">
        <w:t>6</w:t>
      </w:r>
      <w:r w:rsidR="00F64AF5">
        <w:t xml:space="preserve">.  </w:t>
      </w:r>
    </w:p>
    <w:p w14:paraId="7629FE6E" w14:textId="458A7D1D" w:rsidR="001C2C78" w:rsidRDefault="00000000" w:rsidP="001F7714">
      <w:pPr>
        <w:numPr>
          <w:ilvl w:val="0"/>
          <w:numId w:val="5"/>
        </w:numPr>
        <w:spacing w:after="0" w:line="240" w:lineRule="auto"/>
        <w:ind w:hanging="240"/>
      </w:pPr>
      <w:r>
        <w:t xml:space="preserve">exhibition/project must be completed by </w:t>
      </w:r>
      <w:r w:rsidR="00F64AF5">
        <w:t>May 31,</w:t>
      </w:r>
      <w:r w:rsidR="003D31C9">
        <w:t xml:space="preserve"> 202</w:t>
      </w:r>
      <w:r w:rsidR="00C1774F">
        <w:t>7</w:t>
      </w:r>
      <w:r w:rsidR="003D31C9">
        <w:t xml:space="preserve">. </w:t>
      </w:r>
      <w:r>
        <w:t xml:space="preserve"> </w:t>
      </w:r>
    </w:p>
    <w:p w14:paraId="3F382A26" w14:textId="77777777" w:rsidR="003D31C9" w:rsidRDefault="003D31C9" w:rsidP="001F7714">
      <w:pPr>
        <w:spacing w:after="0" w:line="240" w:lineRule="auto"/>
        <w:ind w:left="-5"/>
        <w:rPr>
          <w:b/>
        </w:rPr>
      </w:pPr>
    </w:p>
    <w:p w14:paraId="6DDBBC34" w14:textId="77777777" w:rsidR="003D31C9" w:rsidRDefault="003D31C9" w:rsidP="001F7714">
      <w:pPr>
        <w:spacing w:after="0" w:line="240" w:lineRule="auto"/>
        <w:ind w:left="-5"/>
        <w:rPr>
          <w:b/>
        </w:rPr>
      </w:pPr>
    </w:p>
    <w:p w14:paraId="5CE4650B" w14:textId="2AB55A78" w:rsidR="003D31C9" w:rsidRDefault="00000000" w:rsidP="001F7714">
      <w:pPr>
        <w:spacing w:after="0" w:line="240" w:lineRule="auto"/>
        <w:ind w:left="-5"/>
      </w:pPr>
      <w:r>
        <w:rPr>
          <w:b/>
        </w:rPr>
        <w:t xml:space="preserve">Assessment </w:t>
      </w:r>
      <w:r>
        <w:t xml:space="preserve">- How are decisions made? </w:t>
      </w:r>
    </w:p>
    <w:p w14:paraId="1D11A9A1" w14:textId="111E926F" w:rsidR="001C2C78" w:rsidRDefault="00000000" w:rsidP="001F7714">
      <w:pPr>
        <w:spacing w:after="0" w:line="240" w:lineRule="auto"/>
        <w:ind w:left="-5"/>
      </w:pPr>
      <w:r>
        <w:t xml:space="preserve">Artistic Merit - 50% </w:t>
      </w:r>
    </w:p>
    <w:p w14:paraId="49A55177" w14:textId="77777777" w:rsidR="001C2C78" w:rsidRDefault="00000000" w:rsidP="001F7714">
      <w:pPr>
        <w:numPr>
          <w:ilvl w:val="0"/>
          <w:numId w:val="5"/>
        </w:numPr>
        <w:spacing w:after="0" w:line="240" w:lineRule="auto"/>
        <w:ind w:hanging="240"/>
      </w:pPr>
      <w:r>
        <w:t>Artistic quality the applicants past and current work</w:t>
      </w:r>
    </w:p>
    <w:p w14:paraId="6633231C" w14:textId="77777777" w:rsidR="001C2C78" w:rsidRDefault="00000000" w:rsidP="001F7714">
      <w:pPr>
        <w:numPr>
          <w:ilvl w:val="0"/>
          <w:numId w:val="5"/>
        </w:numPr>
        <w:spacing w:after="0" w:line="240" w:lineRule="auto"/>
        <w:ind w:hanging="240"/>
      </w:pPr>
      <w:r>
        <w:t>Potential artistic outcomes from this exhibit/project</w:t>
      </w:r>
    </w:p>
    <w:p w14:paraId="0212122E" w14:textId="77777777" w:rsidR="003D31C9" w:rsidRDefault="003D31C9" w:rsidP="001F7714">
      <w:pPr>
        <w:spacing w:after="0" w:line="240" w:lineRule="auto"/>
        <w:ind w:left="-5"/>
      </w:pPr>
    </w:p>
    <w:p w14:paraId="52D6E40E" w14:textId="41054418" w:rsidR="001C2C78" w:rsidRDefault="00000000" w:rsidP="001F7714">
      <w:pPr>
        <w:spacing w:after="0" w:line="240" w:lineRule="auto"/>
        <w:ind w:left="-5"/>
      </w:pPr>
      <w:r>
        <w:t xml:space="preserve">Impact - 40% </w:t>
      </w:r>
    </w:p>
    <w:p w14:paraId="18F7C2BB" w14:textId="4268EF9B" w:rsidR="001C2C78" w:rsidRDefault="00000000" w:rsidP="001F7714">
      <w:pPr>
        <w:numPr>
          <w:ilvl w:val="0"/>
          <w:numId w:val="5"/>
        </w:numPr>
        <w:spacing w:after="0" w:line="240" w:lineRule="auto"/>
        <w:ind w:hanging="240"/>
      </w:pPr>
      <w:r>
        <w:t>Impact on your artistic development</w:t>
      </w:r>
      <w:r w:rsidR="003D31C9">
        <w:t xml:space="preserve"> </w:t>
      </w:r>
    </w:p>
    <w:p w14:paraId="73F64B02" w14:textId="77777777" w:rsidR="001C2C78" w:rsidRDefault="00000000" w:rsidP="001F7714">
      <w:pPr>
        <w:numPr>
          <w:ilvl w:val="0"/>
          <w:numId w:val="5"/>
        </w:numPr>
        <w:spacing w:after="0" w:line="240" w:lineRule="auto"/>
        <w:ind w:hanging="240"/>
      </w:pPr>
      <w:r>
        <w:t>Importance of project at the stage of the applicant’s career/practice</w:t>
      </w:r>
    </w:p>
    <w:p w14:paraId="4AA88C14" w14:textId="77777777" w:rsidR="001C2C78" w:rsidRDefault="00000000" w:rsidP="001F7714">
      <w:pPr>
        <w:numPr>
          <w:ilvl w:val="0"/>
          <w:numId w:val="5"/>
        </w:numPr>
        <w:spacing w:after="0" w:line="240" w:lineRule="auto"/>
        <w:ind w:hanging="240"/>
      </w:pPr>
      <w:r>
        <w:lastRenderedPageBreak/>
        <w:t>Impact on discourse of contemporary art</w:t>
      </w:r>
    </w:p>
    <w:p w14:paraId="3F12BAF3" w14:textId="77777777" w:rsidR="001C2C78" w:rsidRDefault="00000000" w:rsidP="001F7714">
      <w:pPr>
        <w:numPr>
          <w:ilvl w:val="0"/>
          <w:numId w:val="5"/>
        </w:numPr>
        <w:spacing w:after="0" w:line="240" w:lineRule="auto"/>
        <w:ind w:hanging="240"/>
      </w:pPr>
      <w:r>
        <w:t>Impact on artistic community and community at large</w:t>
      </w:r>
    </w:p>
    <w:p w14:paraId="416CE3E5" w14:textId="77777777" w:rsidR="003D31C9" w:rsidRDefault="003D31C9" w:rsidP="001F7714">
      <w:pPr>
        <w:spacing w:after="0" w:line="240" w:lineRule="auto"/>
        <w:ind w:left="-5"/>
      </w:pPr>
    </w:p>
    <w:p w14:paraId="4C9AD464" w14:textId="0A5030CD" w:rsidR="001C2C78" w:rsidRDefault="00000000" w:rsidP="001F7714">
      <w:pPr>
        <w:spacing w:after="0" w:line="240" w:lineRule="auto"/>
        <w:ind w:left="-5"/>
      </w:pPr>
      <w:r>
        <w:t>Innovation + Experimentation - 20%</w:t>
      </w:r>
    </w:p>
    <w:p w14:paraId="6AD2F18B" w14:textId="6D09BD45" w:rsidR="001C2C78" w:rsidRDefault="00000000" w:rsidP="001F7714">
      <w:pPr>
        <w:numPr>
          <w:ilvl w:val="0"/>
          <w:numId w:val="5"/>
        </w:numPr>
        <w:spacing w:after="0" w:line="240" w:lineRule="auto"/>
        <w:ind w:hanging="240"/>
      </w:pPr>
      <w:r>
        <w:t xml:space="preserve">Demonstration of new </w:t>
      </w:r>
      <w:r w:rsidR="003D31C9">
        <w:t xml:space="preserve">works, </w:t>
      </w:r>
      <w:r>
        <w:t>materials or productions</w:t>
      </w:r>
    </w:p>
    <w:p w14:paraId="39894CF2" w14:textId="35E8034C" w:rsidR="001C2C78" w:rsidRDefault="00000000" w:rsidP="001F7714">
      <w:pPr>
        <w:numPr>
          <w:ilvl w:val="0"/>
          <w:numId w:val="5"/>
        </w:numPr>
        <w:spacing w:after="0" w:line="240" w:lineRule="auto"/>
        <w:ind w:hanging="240"/>
      </w:pPr>
      <w:r>
        <w:t>Conceptual rigour</w:t>
      </w:r>
      <w:r w:rsidR="00E26828">
        <w:t xml:space="preserve"> and originality</w:t>
      </w:r>
    </w:p>
    <w:p w14:paraId="18969A5D" w14:textId="77777777" w:rsidR="003D31C9" w:rsidRDefault="003D31C9" w:rsidP="001F7714">
      <w:pPr>
        <w:spacing w:after="0" w:line="240" w:lineRule="auto"/>
        <w:ind w:left="240" w:firstLine="0"/>
      </w:pPr>
    </w:p>
    <w:p w14:paraId="6359A585" w14:textId="77777777" w:rsidR="001C2C78" w:rsidRDefault="00000000" w:rsidP="001F7714">
      <w:pPr>
        <w:spacing w:after="0" w:line="240" w:lineRule="auto"/>
        <w:ind w:left="-5"/>
      </w:pPr>
      <w:r>
        <w:t xml:space="preserve">Applications for this grant will be juried internally by the Artist-Direct Committee of PIA. </w:t>
      </w:r>
    </w:p>
    <w:p w14:paraId="3987AA5E" w14:textId="77777777" w:rsidR="003D31C9" w:rsidRDefault="003D31C9" w:rsidP="001F7714">
      <w:pPr>
        <w:spacing w:after="0" w:line="240" w:lineRule="auto"/>
        <w:ind w:left="-5"/>
      </w:pPr>
    </w:p>
    <w:p w14:paraId="6C392324" w14:textId="77777777" w:rsidR="003D31C9" w:rsidRDefault="003D31C9" w:rsidP="001F7714">
      <w:pPr>
        <w:pStyle w:val="Heading1"/>
        <w:spacing w:line="240" w:lineRule="auto"/>
        <w:ind w:left="-5"/>
      </w:pPr>
    </w:p>
    <w:p w14:paraId="1A5FCC68" w14:textId="390A2383" w:rsidR="003D31C9" w:rsidRPr="003D31C9" w:rsidRDefault="00000000" w:rsidP="001F7714">
      <w:pPr>
        <w:pStyle w:val="Heading1"/>
        <w:spacing w:line="240" w:lineRule="auto"/>
        <w:ind w:left="-5"/>
      </w:pPr>
      <w:r>
        <w:t xml:space="preserve">Final Report + Expectations + Acknowledgement  </w:t>
      </w:r>
    </w:p>
    <w:p w14:paraId="232633EF" w14:textId="5CEC19B4" w:rsidR="001C2C78" w:rsidRDefault="00000000" w:rsidP="001F7714">
      <w:pPr>
        <w:spacing w:after="0" w:line="240" w:lineRule="auto"/>
        <w:ind w:left="-5"/>
      </w:pPr>
      <w:r>
        <w:t xml:space="preserve">Successful applicants must fill out a brief Final Report after their exhibition is complete. This report will request information regarding the impact of the project and budget </w:t>
      </w:r>
      <w:r w:rsidR="006F794F">
        <w:t>report</w:t>
      </w:r>
      <w:r>
        <w:t xml:space="preserve">. </w:t>
      </w:r>
    </w:p>
    <w:p w14:paraId="0BA30DA1" w14:textId="77777777" w:rsidR="001C2C78" w:rsidRDefault="00000000" w:rsidP="001F7714">
      <w:pPr>
        <w:spacing w:after="0" w:line="240" w:lineRule="auto"/>
        <w:ind w:left="-5"/>
      </w:pPr>
      <w:r>
        <w:t xml:space="preserve">If successful artists and PIA are interested in organizing a studio, exhibition or virtual tour, this can be arrangement based on </w:t>
      </w:r>
      <w:proofErr w:type="gramStart"/>
      <w:r>
        <w:t>availability, but</w:t>
      </w:r>
      <w:proofErr w:type="gramEnd"/>
      <w:r>
        <w:t xml:space="preserve"> is not required. </w:t>
      </w:r>
    </w:p>
    <w:p w14:paraId="27D93014" w14:textId="77777777" w:rsidR="003D31C9" w:rsidRDefault="003D31C9" w:rsidP="001F7714">
      <w:pPr>
        <w:spacing w:after="0" w:line="240" w:lineRule="auto"/>
        <w:ind w:left="-5"/>
      </w:pPr>
    </w:p>
    <w:p w14:paraId="094E8224" w14:textId="77777777" w:rsidR="001C2C78" w:rsidRDefault="00000000" w:rsidP="001F7714">
      <w:pPr>
        <w:spacing w:after="0" w:line="240" w:lineRule="auto"/>
        <w:ind w:left="-5"/>
      </w:pPr>
      <w:r>
        <w:t xml:space="preserve">Successful artists will be asked to add the PIA logo to their website and project/exhibition website as acknowledgement of support. </w:t>
      </w:r>
    </w:p>
    <w:p w14:paraId="4E4D9560" w14:textId="77777777" w:rsidR="003D31C9" w:rsidRDefault="003D31C9" w:rsidP="001F7714">
      <w:pPr>
        <w:pStyle w:val="Heading1"/>
        <w:spacing w:line="240" w:lineRule="auto"/>
        <w:ind w:left="-5"/>
      </w:pPr>
    </w:p>
    <w:p w14:paraId="676ECE62" w14:textId="77777777" w:rsidR="003D31C9" w:rsidRPr="003D31C9" w:rsidRDefault="003D31C9" w:rsidP="001F7714">
      <w:pPr>
        <w:spacing w:after="0" w:line="240" w:lineRule="auto"/>
      </w:pPr>
    </w:p>
    <w:p w14:paraId="1C0977D6" w14:textId="20F061C4" w:rsidR="003D31C9" w:rsidRDefault="00000000" w:rsidP="001F7714">
      <w:pPr>
        <w:pStyle w:val="Heading1"/>
        <w:spacing w:line="240" w:lineRule="auto"/>
        <w:ind w:left="-5"/>
      </w:pPr>
      <w:r>
        <w:t xml:space="preserve">Definitions  </w:t>
      </w:r>
    </w:p>
    <w:p w14:paraId="631DD09B" w14:textId="2EF404F1" w:rsidR="001C2C78" w:rsidRDefault="00000000" w:rsidP="001F7714">
      <w:pPr>
        <w:spacing w:after="0" w:line="240" w:lineRule="auto"/>
      </w:pPr>
      <w:r w:rsidRPr="000B439F">
        <w:rPr>
          <w:b/>
          <w:bCs/>
        </w:rPr>
        <w:t>Greater Toronto Area</w:t>
      </w:r>
      <w:r w:rsidR="000B439F">
        <w:rPr>
          <w:b/>
          <w:bCs/>
        </w:rPr>
        <w:t xml:space="preserve"> (GTA)</w:t>
      </w:r>
      <w:r w:rsidRPr="000B439F">
        <w:rPr>
          <w:b/>
          <w:bCs/>
        </w:rPr>
        <w:t>:</w:t>
      </w:r>
      <w:r>
        <w:t xml:space="preserve"> The GTA is comprised of six local boroughs—Etobicoke, North York, Scarborough, York, East York and Toronto, plus the cities of Mississauga and Brampton.</w:t>
      </w:r>
    </w:p>
    <w:p w14:paraId="4D9FA680" w14:textId="77777777" w:rsidR="006F794F" w:rsidRDefault="006F794F" w:rsidP="001F7714">
      <w:pPr>
        <w:spacing w:after="0" w:line="240" w:lineRule="auto"/>
      </w:pPr>
    </w:p>
    <w:p w14:paraId="61DC8D61" w14:textId="5AB4FC6F" w:rsidR="006F794F" w:rsidRDefault="006F794F" w:rsidP="001F7714">
      <w:pPr>
        <w:spacing w:after="0" w:line="240" w:lineRule="auto"/>
      </w:pPr>
      <w:r>
        <w:rPr>
          <w:color w:val="222222"/>
          <w:shd w:val="clear" w:color="auto" w:fill="FFFFFF"/>
        </w:rPr>
        <w:t xml:space="preserve">GTA municipalities </w:t>
      </w:r>
      <w:r w:rsidR="004509AD">
        <w:rPr>
          <w:color w:val="222222"/>
          <w:shd w:val="clear" w:color="auto" w:fill="FFFFFF"/>
        </w:rPr>
        <w:t>include</w:t>
      </w:r>
      <w:r>
        <w:rPr>
          <w:color w:val="222222"/>
          <w:shd w:val="clear" w:color="auto" w:fill="FFFFFF"/>
        </w:rPr>
        <w:t>:</w:t>
      </w:r>
      <w:r>
        <w:rPr>
          <w:color w:val="222222"/>
        </w:rPr>
        <w:br/>
      </w:r>
      <w:r>
        <w:rPr>
          <w:color w:val="222222"/>
        </w:rPr>
        <w:br/>
      </w:r>
      <w:r>
        <w:rPr>
          <w:color w:val="222222"/>
          <w:shd w:val="clear" w:color="auto" w:fill="FFFFFF"/>
        </w:rPr>
        <w:t>Town of Ajax</w:t>
      </w:r>
      <w:r>
        <w:rPr>
          <w:color w:val="222222"/>
        </w:rPr>
        <w:t xml:space="preserve">, </w:t>
      </w:r>
      <w:r>
        <w:rPr>
          <w:color w:val="222222"/>
          <w:shd w:val="clear" w:color="auto" w:fill="FFFFFF"/>
        </w:rPr>
        <w:t>Town of Aurora</w:t>
      </w:r>
      <w:r>
        <w:rPr>
          <w:color w:val="222222"/>
        </w:rPr>
        <w:t xml:space="preserve">, </w:t>
      </w:r>
      <w:r>
        <w:rPr>
          <w:color w:val="222222"/>
          <w:shd w:val="clear" w:color="auto" w:fill="FFFFFF"/>
        </w:rPr>
        <w:t>City of Brampton</w:t>
      </w:r>
      <w:r>
        <w:rPr>
          <w:color w:val="222222"/>
        </w:rPr>
        <w:t xml:space="preserve">, </w:t>
      </w:r>
      <w:r>
        <w:rPr>
          <w:color w:val="222222"/>
          <w:shd w:val="clear" w:color="auto" w:fill="FFFFFF"/>
        </w:rPr>
        <w:t>Township of Brock</w:t>
      </w:r>
      <w:r>
        <w:rPr>
          <w:color w:val="222222"/>
        </w:rPr>
        <w:t xml:space="preserve">, </w:t>
      </w:r>
      <w:r>
        <w:rPr>
          <w:color w:val="222222"/>
          <w:shd w:val="clear" w:color="auto" w:fill="FFFFFF"/>
        </w:rPr>
        <w:t>City of Burlington</w:t>
      </w:r>
      <w:r>
        <w:rPr>
          <w:color w:val="222222"/>
        </w:rPr>
        <w:t xml:space="preserve">, </w:t>
      </w:r>
      <w:r>
        <w:rPr>
          <w:color w:val="222222"/>
          <w:shd w:val="clear" w:color="auto" w:fill="FFFFFF"/>
        </w:rPr>
        <w:t>Town of Caledon</w:t>
      </w:r>
      <w:r>
        <w:rPr>
          <w:color w:val="222222"/>
        </w:rPr>
        <w:t xml:space="preserve">, </w:t>
      </w:r>
      <w:r>
        <w:rPr>
          <w:color w:val="222222"/>
          <w:shd w:val="clear" w:color="auto" w:fill="FFFFFF"/>
        </w:rPr>
        <w:t>Municipality of Clarington</w:t>
      </w:r>
      <w:r>
        <w:rPr>
          <w:color w:val="222222"/>
        </w:rPr>
        <w:t xml:space="preserve">, </w:t>
      </w:r>
      <w:r>
        <w:rPr>
          <w:color w:val="222222"/>
          <w:shd w:val="clear" w:color="auto" w:fill="FFFFFF"/>
        </w:rPr>
        <w:t>Durham Region</w:t>
      </w:r>
      <w:r>
        <w:rPr>
          <w:color w:val="222222"/>
        </w:rPr>
        <w:t xml:space="preserve">, </w:t>
      </w:r>
      <w:r>
        <w:rPr>
          <w:color w:val="222222"/>
          <w:shd w:val="clear" w:color="auto" w:fill="FFFFFF"/>
        </w:rPr>
        <w:t>Town of East Gwillimbury</w:t>
      </w:r>
      <w:r>
        <w:rPr>
          <w:color w:val="222222"/>
        </w:rPr>
        <w:t xml:space="preserve">, </w:t>
      </w:r>
      <w:r>
        <w:rPr>
          <w:color w:val="222222"/>
          <w:shd w:val="clear" w:color="auto" w:fill="FFFFFF"/>
        </w:rPr>
        <w:t>Town of Georgina</w:t>
      </w:r>
      <w:r>
        <w:rPr>
          <w:color w:val="222222"/>
        </w:rPr>
        <w:t xml:space="preserve">, </w:t>
      </w:r>
      <w:r>
        <w:rPr>
          <w:color w:val="222222"/>
          <w:shd w:val="clear" w:color="auto" w:fill="FFFFFF"/>
        </w:rPr>
        <w:t>Halton Region</w:t>
      </w:r>
      <w:r>
        <w:rPr>
          <w:color w:val="222222"/>
        </w:rPr>
        <w:t xml:space="preserve">, </w:t>
      </w:r>
      <w:r>
        <w:rPr>
          <w:color w:val="222222"/>
          <w:shd w:val="clear" w:color="auto" w:fill="FFFFFF"/>
        </w:rPr>
        <w:t>Town of Halton Hills</w:t>
      </w:r>
      <w:r>
        <w:rPr>
          <w:color w:val="222222"/>
        </w:rPr>
        <w:t xml:space="preserve">, </w:t>
      </w:r>
      <w:r>
        <w:rPr>
          <w:color w:val="222222"/>
          <w:shd w:val="clear" w:color="auto" w:fill="FFFFFF"/>
        </w:rPr>
        <w:t>Township of King</w:t>
      </w:r>
      <w:r>
        <w:rPr>
          <w:color w:val="222222"/>
        </w:rPr>
        <w:t xml:space="preserve">, </w:t>
      </w:r>
      <w:r>
        <w:rPr>
          <w:color w:val="222222"/>
          <w:shd w:val="clear" w:color="auto" w:fill="FFFFFF"/>
        </w:rPr>
        <w:t>City of Markham</w:t>
      </w:r>
      <w:r>
        <w:rPr>
          <w:color w:val="222222"/>
        </w:rPr>
        <w:t xml:space="preserve">, </w:t>
      </w:r>
      <w:r>
        <w:rPr>
          <w:color w:val="222222"/>
          <w:shd w:val="clear" w:color="auto" w:fill="FFFFFF"/>
        </w:rPr>
        <w:t>City of Mississauga</w:t>
      </w:r>
      <w:r>
        <w:rPr>
          <w:color w:val="222222"/>
        </w:rPr>
        <w:t xml:space="preserve">, </w:t>
      </w:r>
      <w:r>
        <w:rPr>
          <w:color w:val="222222"/>
          <w:shd w:val="clear" w:color="auto" w:fill="FFFFFF"/>
        </w:rPr>
        <w:t>Town of Milton</w:t>
      </w:r>
      <w:r>
        <w:rPr>
          <w:color w:val="222222"/>
        </w:rPr>
        <w:t xml:space="preserve">, </w:t>
      </w:r>
      <w:r>
        <w:rPr>
          <w:color w:val="222222"/>
          <w:shd w:val="clear" w:color="auto" w:fill="FFFFFF"/>
        </w:rPr>
        <w:t>Town of Newmarket</w:t>
      </w:r>
      <w:r>
        <w:rPr>
          <w:color w:val="222222"/>
        </w:rPr>
        <w:t xml:space="preserve">, </w:t>
      </w:r>
      <w:r>
        <w:rPr>
          <w:color w:val="222222"/>
          <w:shd w:val="clear" w:color="auto" w:fill="FFFFFF"/>
        </w:rPr>
        <w:t>Town of Oakville</w:t>
      </w:r>
      <w:r>
        <w:rPr>
          <w:color w:val="222222"/>
        </w:rPr>
        <w:t xml:space="preserve">, </w:t>
      </w:r>
      <w:r>
        <w:rPr>
          <w:color w:val="222222"/>
          <w:shd w:val="clear" w:color="auto" w:fill="FFFFFF"/>
        </w:rPr>
        <w:t>City of Oshawa</w:t>
      </w:r>
      <w:r>
        <w:rPr>
          <w:color w:val="222222"/>
        </w:rPr>
        <w:t xml:space="preserve">, </w:t>
      </w:r>
      <w:r>
        <w:rPr>
          <w:color w:val="222222"/>
          <w:shd w:val="clear" w:color="auto" w:fill="FFFFFF"/>
        </w:rPr>
        <w:t>Peel Region</w:t>
      </w:r>
      <w:r>
        <w:rPr>
          <w:color w:val="222222"/>
        </w:rPr>
        <w:t xml:space="preserve">, </w:t>
      </w:r>
      <w:r>
        <w:rPr>
          <w:color w:val="222222"/>
          <w:shd w:val="clear" w:color="auto" w:fill="FFFFFF"/>
        </w:rPr>
        <w:t>City of Pickering</w:t>
      </w:r>
      <w:r>
        <w:rPr>
          <w:color w:val="222222"/>
        </w:rPr>
        <w:t xml:space="preserve">, </w:t>
      </w:r>
      <w:r>
        <w:rPr>
          <w:color w:val="222222"/>
          <w:shd w:val="clear" w:color="auto" w:fill="FFFFFF"/>
        </w:rPr>
        <w:t>City of Richmond Hill</w:t>
      </w:r>
      <w:r>
        <w:rPr>
          <w:color w:val="222222"/>
        </w:rPr>
        <w:t xml:space="preserve">, </w:t>
      </w:r>
      <w:r>
        <w:rPr>
          <w:color w:val="222222"/>
          <w:shd w:val="clear" w:color="auto" w:fill="FFFFFF"/>
        </w:rPr>
        <w:t>Township of Scugog</w:t>
      </w:r>
      <w:r>
        <w:rPr>
          <w:color w:val="222222"/>
        </w:rPr>
        <w:t xml:space="preserve">, </w:t>
      </w:r>
      <w:r>
        <w:rPr>
          <w:color w:val="222222"/>
          <w:shd w:val="clear" w:color="auto" w:fill="FFFFFF"/>
        </w:rPr>
        <w:t>City of Toronto</w:t>
      </w:r>
      <w:r>
        <w:rPr>
          <w:color w:val="222222"/>
        </w:rPr>
        <w:br/>
      </w:r>
      <w:r>
        <w:rPr>
          <w:color w:val="222222"/>
          <w:shd w:val="clear" w:color="auto" w:fill="FFFFFF"/>
        </w:rPr>
        <w:t>Township of Uxbridge</w:t>
      </w:r>
      <w:r>
        <w:rPr>
          <w:color w:val="222222"/>
        </w:rPr>
        <w:t xml:space="preserve">, </w:t>
      </w:r>
      <w:r>
        <w:rPr>
          <w:color w:val="222222"/>
          <w:shd w:val="clear" w:color="auto" w:fill="FFFFFF"/>
        </w:rPr>
        <w:t>York Region</w:t>
      </w:r>
      <w:r>
        <w:rPr>
          <w:color w:val="222222"/>
        </w:rPr>
        <w:t xml:space="preserve">, </w:t>
      </w:r>
      <w:r>
        <w:rPr>
          <w:color w:val="222222"/>
          <w:shd w:val="clear" w:color="auto" w:fill="FFFFFF"/>
        </w:rPr>
        <w:t>City of Vaughan</w:t>
      </w:r>
      <w:r>
        <w:rPr>
          <w:color w:val="222222"/>
        </w:rPr>
        <w:t xml:space="preserve">, </w:t>
      </w:r>
      <w:r>
        <w:rPr>
          <w:color w:val="222222"/>
          <w:shd w:val="clear" w:color="auto" w:fill="FFFFFF"/>
        </w:rPr>
        <w:t>Town of Whitchurch-Stouffville</w:t>
      </w:r>
      <w:r>
        <w:rPr>
          <w:color w:val="222222"/>
        </w:rPr>
        <w:t xml:space="preserve">, </w:t>
      </w:r>
      <w:r>
        <w:rPr>
          <w:color w:val="222222"/>
          <w:shd w:val="clear" w:color="auto" w:fill="FFFFFF"/>
        </w:rPr>
        <w:t>Town of Whitby</w:t>
      </w:r>
    </w:p>
    <w:p w14:paraId="6AE59EBC" w14:textId="77777777" w:rsidR="003D31C9" w:rsidRDefault="003D31C9" w:rsidP="001F7714">
      <w:pPr>
        <w:spacing w:after="0" w:line="240" w:lineRule="auto"/>
      </w:pPr>
    </w:p>
    <w:p w14:paraId="09D8AF21" w14:textId="052158C0" w:rsidR="001C2C78" w:rsidRDefault="00000000" w:rsidP="001F7714">
      <w:pPr>
        <w:spacing w:after="0" w:line="240" w:lineRule="auto"/>
      </w:pPr>
      <w:r w:rsidRPr="000B439F">
        <w:rPr>
          <w:b/>
          <w:bCs/>
        </w:rPr>
        <w:t>Emerging</w:t>
      </w:r>
      <w:r>
        <w:t xml:space="preserve">: </w:t>
      </w:r>
      <w:r w:rsidR="0001629A">
        <w:t>A</w:t>
      </w:r>
      <w:r>
        <w:t>rtists in the early years of their professional careers who have a small exhibition record. You must have been practicing professionally for at least three years (meaning public presentation of your work).</w:t>
      </w:r>
    </w:p>
    <w:p w14:paraId="2C2F759A" w14:textId="77777777" w:rsidR="00CA662A" w:rsidRDefault="00CA662A" w:rsidP="001F7714">
      <w:pPr>
        <w:spacing w:after="0" w:line="240" w:lineRule="auto"/>
      </w:pPr>
    </w:p>
    <w:p w14:paraId="36FC7F1C" w14:textId="46AD1977" w:rsidR="000A235F" w:rsidRPr="003C154F" w:rsidRDefault="00000000" w:rsidP="003C154F">
      <w:pPr>
        <w:spacing w:after="0" w:line="240" w:lineRule="auto"/>
      </w:pPr>
      <w:r w:rsidRPr="000B439F">
        <w:rPr>
          <w:b/>
          <w:bCs/>
        </w:rPr>
        <w:t>Mid-career:</w:t>
      </w:r>
      <w:r>
        <w:t xml:space="preserve"> </w:t>
      </w:r>
      <w:r w:rsidR="0001629A">
        <w:t>A</w:t>
      </w:r>
      <w:r>
        <w:t>rtists whose professional careers have passed the early stages, who have produced a reasonable body of work and have attained a fair degree of public exposure. You must have been practicing professionally for at least 8 years (meaning public presentation of your work).</w:t>
      </w:r>
      <w:r w:rsidR="003C154F">
        <w:t xml:space="preserve"> </w:t>
      </w:r>
      <w:r w:rsidR="000A235F" w:rsidRPr="003C154F">
        <w:t xml:space="preserve">For the sake of this grant, we maintain a cut-off of a 15-year exhibition history to </w:t>
      </w:r>
      <w:r w:rsidR="001F7714" w:rsidRPr="003C154F">
        <w:t>qualify</w:t>
      </w:r>
      <w:r w:rsidR="000A235F" w:rsidRPr="003C154F">
        <w:t xml:space="preserve"> as a mid-career artist. </w:t>
      </w:r>
    </w:p>
    <w:p w14:paraId="37EBF16D" w14:textId="77777777" w:rsidR="003D31C9" w:rsidRDefault="003D31C9" w:rsidP="004A2CFB">
      <w:pPr>
        <w:spacing w:after="0" w:line="240" w:lineRule="auto"/>
        <w:ind w:left="0" w:firstLine="0"/>
      </w:pPr>
    </w:p>
    <w:p w14:paraId="73D59659" w14:textId="77777777" w:rsidR="003D31C9" w:rsidRDefault="003D31C9" w:rsidP="001F7714">
      <w:pPr>
        <w:spacing w:after="0" w:line="240" w:lineRule="auto"/>
        <w:ind w:left="250"/>
      </w:pPr>
    </w:p>
    <w:p w14:paraId="08AF0362" w14:textId="0B40B4F0" w:rsidR="001C2C78" w:rsidRDefault="00000000" w:rsidP="001F7714">
      <w:pPr>
        <w:pStyle w:val="Heading1"/>
        <w:spacing w:line="240" w:lineRule="auto"/>
        <w:ind w:left="-5"/>
      </w:pPr>
      <w:r>
        <w:t>PIA Funding Disclaimer</w:t>
      </w:r>
    </w:p>
    <w:p w14:paraId="32AED349" w14:textId="77777777" w:rsidR="00DA67A0" w:rsidRPr="00DA67A0" w:rsidRDefault="00DA67A0" w:rsidP="00DA67A0">
      <w:pPr>
        <w:ind w:left="0" w:firstLine="0"/>
      </w:pPr>
    </w:p>
    <w:p w14:paraId="3D2189AA" w14:textId="7E422D33" w:rsidR="001C2C78" w:rsidRDefault="00000000" w:rsidP="001F7714">
      <w:pPr>
        <w:spacing w:after="0" w:line="240" w:lineRule="auto"/>
        <w:ind w:left="-5"/>
      </w:pPr>
      <w:r>
        <w:t>PIA’s mission is to “fund and champion contemporary visual art through philanthropy, volunteerism and education</w:t>
      </w:r>
      <w:r w:rsidR="004A2CFB">
        <w:t>.</w:t>
      </w:r>
      <w:r>
        <w:t>” In this pursuit, PIA supports artists and projects that provide thoughtful and challenging perspectives on our world. As a result, PIA may, at times, associate itself with controversial points of view, opinions, and activism from the diverse individuals and groups that PIA supports. The views expressed by these individuals and organizations are their own and do not necessarily reflect the policies or points of view of PIA or its members. PIA is comprised of 200+ members from different cultural, ethnic, and religious demographics, and as an organization, PIA strives to meet our core principles of tolerance, the health of dissent, freedom of association, and freedom of expression.</w:t>
      </w:r>
    </w:p>
    <w:p w14:paraId="1AC25CBB" w14:textId="77777777" w:rsidR="000A235F" w:rsidRDefault="000A235F" w:rsidP="005B4296">
      <w:pPr>
        <w:spacing w:after="0" w:line="240" w:lineRule="auto"/>
        <w:ind w:left="0" w:firstLine="0"/>
      </w:pPr>
    </w:p>
    <w:p w14:paraId="06114BE2" w14:textId="77777777" w:rsidR="000A235F" w:rsidRDefault="000A235F" w:rsidP="001F7714">
      <w:pPr>
        <w:spacing w:after="0" w:line="240" w:lineRule="auto"/>
        <w:ind w:left="-5"/>
      </w:pPr>
    </w:p>
    <w:p w14:paraId="04D0D64E" w14:textId="77777777" w:rsidR="000A235F" w:rsidRDefault="000A235F" w:rsidP="001F7714">
      <w:pPr>
        <w:spacing w:after="0" w:line="240" w:lineRule="auto"/>
        <w:ind w:left="-5"/>
      </w:pPr>
    </w:p>
    <w:sectPr w:rsidR="000A235F">
      <w:headerReference w:type="even" r:id="rId7"/>
      <w:headerReference w:type="default" r:id="rId8"/>
      <w:headerReference w:type="first" r:id="rId9"/>
      <w:pgSz w:w="12240" w:h="15840"/>
      <w:pgMar w:top="2835" w:right="1453" w:bottom="1508" w:left="1440" w:header="30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2DC30" w14:textId="77777777" w:rsidR="00CA1851" w:rsidRDefault="00CA1851">
      <w:pPr>
        <w:spacing w:after="0" w:line="240" w:lineRule="auto"/>
      </w:pPr>
      <w:r>
        <w:separator/>
      </w:r>
    </w:p>
  </w:endnote>
  <w:endnote w:type="continuationSeparator" w:id="0">
    <w:p w14:paraId="38E22A72" w14:textId="77777777" w:rsidR="00CA1851" w:rsidRDefault="00CA1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4D7B6" w14:textId="77777777" w:rsidR="00CA1851" w:rsidRDefault="00CA1851">
      <w:pPr>
        <w:spacing w:after="0" w:line="240" w:lineRule="auto"/>
      </w:pPr>
      <w:r>
        <w:separator/>
      </w:r>
    </w:p>
  </w:footnote>
  <w:footnote w:type="continuationSeparator" w:id="0">
    <w:p w14:paraId="614D63BA" w14:textId="77777777" w:rsidR="00CA1851" w:rsidRDefault="00CA1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ED3A" w14:textId="77777777" w:rsidR="001C2C78" w:rsidRDefault="00000000">
    <w:pPr>
      <w:spacing w:after="0" w:line="259" w:lineRule="auto"/>
      <w:ind w:left="-1440" w:right="10787" w:firstLine="0"/>
    </w:pPr>
    <w:r>
      <w:rPr>
        <w:noProof/>
      </w:rPr>
      <w:drawing>
        <wp:anchor distT="0" distB="0" distL="114300" distR="114300" simplePos="0" relativeHeight="251658240" behindDoc="0" locked="0" layoutInCell="1" allowOverlap="0" wp14:anchorId="5CDA516C" wp14:editId="3E727D44">
          <wp:simplePos x="0" y="0"/>
          <wp:positionH relativeFrom="page">
            <wp:posOffset>6714990</wp:posOffset>
          </wp:positionH>
          <wp:positionV relativeFrom="page">
            <wp:posOffset>193790</wp:posOffset>
          </wp:positionV>
          <wp:extent cx="752444" cy="1119984"/>
          <wp:effectExtent l="0" t="0" r="0" b="0"/>
          <wp:wrapSquare wrapText="bothSides"/>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1"/>
                  <a:stretch>
                    <a:fillRect/>
                  </a:stretch>
                </pic:blipFill>
                <pic:spPr>
                  <a:xfrm>
                    <a:off x="0" y="0"/>
                    <a:ext cx="752444" cy="1119984"/>
                  </a:xfrm>
                  <a:prstGeom prst="rect">
                    <a:avLst/>
                  </a:prstGeom>
                </pic:spPr>
              </pic:pic>
            </a:graphicData>
          </a:graphic>
        </wp:anchor>
      </w:drawing>
    </w:r>
  </w:p>
  <w:p w14:paraId="02C28664" w14:textId="77777777" w:rsidR="001C2C78" w:rsidRDefault="00000000">
    <w:r>
      <w:rPr>
        <w:rFonts w:ascii="Calibri" w:eastAsia="Calibri" w:hAnsi="Calibri" w:cs="Calibri"/>
        <w:noProof/>
      </w:rPr>
      <mc:AlternateContent>
        <mc:Choice Requires="wpg">
          <w:drawing>
            <wp:anchor distT="0" distB="0" distL="114300" distR="114300" simplePos="0" relativeHeight="251659264" behindDoc="1" locked="0" layoutInCell="1" allowOverlap="1" wp14:anchorId="493C7C29" wp14:editId="3073FE4C">
              <wp:simplePos x="0" y="0"/>
              <wp:positionH relativeFrom="page">
                <wp:posOffset>0</wp:posOffset>
              </wp:positionH>
              <wp:positionV relativeFrom="page">
                <wp:posOffset>0</wp:posOffset>
              </wp:positionV>
              <wp:extent cx="1" cy="1"/>
              <wp:effectExtent l="0" t="0" r="0" b="0"/>
              <wp:wrapNone/>
              <wp:docPr id="3101" name="Group 310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101"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4AE5" w14:textId="093B3699" w:rsidR="001C2C78" w:rsidRDefault="001C2C78">
    <w:pPr>
      <w:spacing w:after="0" w:line="259" w:lineRule="auto"/>
      <w:ind w:left="-1440" w:right="10787" w:firstLine="0"/>
    </w:pPr>
  </w:p>
  <w:p w14:paraId="65A01E43" w14:textId="3FAA45E0" w:rsidR="001C2C78" w:rsidRDefault="003D31C9">
    <w:r>
      <w:rPr>
        <w:noProof/>
      </w:rPr>
      <w:drawing>
        <wp:anchor distT="0" distB="0" distL="114300" distR="114300" simplePos="0" relativeHeight="251660288" behindDoc="0" locked="0" layoutInCell="1" allowOverlap="0" wp14:anchorId="6CEF756F" wp14:editId="63E9F30B">
          <wp:simplePos x="0" y="0"/>
          <wp:positionH relativeFrom="page">
            <wp:posOffset>6714490</wp:posOffset>
          </wp:positionH>
          <wp:positionV relativeFrom="page">
            <wp:posOffset>425904</wp:posOffset>
          </wp:positionV>
          <wp:extent cx="752444" cy="1119984"/>
          <wp:effectExtent l="0" t="0" r="0" b="0"/>
          <wp:wrapSquare wrapText="bothSides"/>
          <wp:docPr id="611950866" name="Picture 611950866"/>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1"/>
                  <a:stretch>
                    <a:fillRect/>
                  </a:stretch>
                </pic:blipFill>
                <pic:spPr>
                  <a:xfrm>
                    <a:off x="0" y="0"/>
                    <a:ext cx="752444" cy="1119984"/>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764C4FAF" wp14:editId="6899EECC">
              <wp:simplePos x="0" y="0"/>
              <wp:positionH relativeFrom="page">
                <wp:posOffset>0</wp:posOffset>
              </wp:positionH>
              <wp:positionV relativeFrom="page">
                <wp:posOffset>0</wp:posOffset>
              </wp:positionV>
              <wp:extent cx="1" cy="1"/>
              <wp:effectExtent l="0" t="0" r="0" b="0"/>
              <wp:wrapNone/>
              <wp:docPr id="3094" name="Group 309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094"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D302" w14:textId="77777777" w:rsidR="001C2C78" w:rsidRDefault="00000000">
    <w:pPr>
      <w:spacing w:after="0" w:line="259" w:lineRule="auto"/>
      <w:ind w:left="-1440" w:right="10787" w:firstLine="0"/>
    </w:pPr>
    <w:r>
      <w:rPr>
        <w:noProof/>
      </w:rPr>
      <w:drawing>
        <wp:anchor distT="0" distB="0" distL="114300" distR="114300" simplePos="0" relativeHeight="251662336" behindDoc="0" locked="0" layoutInCell="1" allowOverlap="0" wp14:anchorId="746AFC78" wp14:editId="47648B2B">
          <wp:simplePos x="0" y="0"/>
          <wp:positionH relativeFrom="page">
            <wp:posOffset>6714990</wp:posOffset>
          </wp:positionH>
          <wp:positionV relativeFrom="page">
            <wp:posOffset>193790</wp:posOffset>
          </wp:positionV>
          <wp:extent cx="752444" cy="1119984"/>
          <wp:effectExtent l="0" t="0" r="0" b="0"/>
          <wp:wrapSquare wrapText="bothSides"/>
          <wp:docPr id="1438557684" name="Picture 1438557684"/>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1"/>
                  <a:stretch>
                    <a:fillRect/>
                  </a:stretch>
                </pic:blipFill>
                <pic:spPr>
                  <a:xfrm>
                    <a:off x="0" y="0"/>
                    <a:ext cx="752444" cy="1119984"/>
                  </a:xfrm>
                  <a:prstGeom prst="rect">
                    <a:avLst/>
                  </a:prstGeom>
                </pic:spPr>
              </pic:pic>
            </a:graphicData>
          </a:graphic>
        </wp:anchor>
      </w:drawing>
    </w:r>
  </w:p>
  <w:p w14:paraId="70A3CB64" w14:textId="77777777" w:rsidR="001C2C78" w:rsidRDefault="00000000">
    <w:r>
      <w:rPr>
        <w:rFonts w:ascii="Calibri" w:eastAsia="Calibri" w:hAnsi="Calibri" w:cs="Calibri"/>
        <w:noProof/>
      </w:rPr>
      <mc:AlternateContent>
        <mc:Choice Requires="wpg">
          <w:drawing>
            <wp:anchor distT="0" distB="0" distL="114300" distR="114300" simplePos="0" relativeHeight="251663360" behindDoc="1" locked="0" layoutInCell="1" allowOverlap="1" wp14:anchorId="773BC8F5" wp14:editId="4B996520">
              <wp:simplePos x="0" y="0"/>
              <wp:positionH relativeFrom="page">
                <wp:posOffset>0</wp:posOffset>
              </wp:positionH>
              <wp:positionV relativeFrom="page">
                <wp:posOffset>0</wp:posOffset>
              </wp:positionV>
              <wp:extent cx="1" cy="1"/>
              <wp:effectExtent l="0" t="0" r="0" b="0"/>
              <wp:wrapNone/>
              <wp:docPr id="3087" name="Group 308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087"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4026"/>
    <w:multiLevelType w:val="hybridMultilevel"/>
    <w:tmpl w:val="4AB8EAA4"/>
    <w:lvl w:ilvl="0" w:tplc="19449E88">
      <w:start w:val="1"/>
      <w:numFmt w:val="bullet"/>
      <w:lvlText w:val="-"/>
      <w:lvlJc w:val="left"/>
      <w:pPr>
        <w:ind w:left="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4EEF00C">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9618BE7A">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D5F26130">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013E19C8">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71B825BA">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B35C744C">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CF64AEC">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732B126">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47226E4"/>
    <w:multiLevelType w:val="hybridMultilevel"/>
    <w:tmpl w:val="6752441C"/>
    <w:lvl w:ilvl="0" w:tplc="6B82ED72">
      <w:start w:val="1"/>
      <w:numFmt w:val="bullet"/>
      <w:lvlText w:val="-"/>
      <w:lvlJc w:val="left"/>
      <w:pPr>
        <w:ind w:left="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CBF87738">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059A40A8">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F8069512">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553AE944">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9AC60A28">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F7B6A464">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00498EC">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276E05E4">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AAF798E"/>
    <w:multiLevelType w:val="hybridMultilevel"/>
    <w:tmpl w:val="FD7C4836"/>
    <w:lvl w:ilvl="0" w:tplc="D326FDFE">
      <w:start w:val="1"/>
      <w:numFmt w:val="bullet"/>
      <w:lvlText w:val="-"/>
      <w:lvlJc w:val="left"/>
      <w:pPr>
        <w:ind w:left="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9D86BA02">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4ECAF0F4">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CB65AF2">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9800DEE">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D430D826">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A6EC2CE4">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A9CC667C">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4320B554">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EEE64DE"/>
    <w:multiLevelType w:val="hybridMultilevel"/>
    <w:tmpl w:val="AF4A57A8"/>
    <w:lvl w:ilvl="0" w:tplc="4600ECF6">
      <w:start w:val="1"/>
      <w:numFmt w:val="bullet"/>
      <w:lvlText w:val="-"/>
      <w:lvlJc w:val="left"/>
      <w:pPr>
        <w:ind w:left="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298F122">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63842F5A">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D85AB64A">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D08A070">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78DC2E12">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B3869B9C">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B6E4026">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600BE2C">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20B4713"/>
    <w:multiLevelType w:val="hybridMultilevel"/>
    <w:tmpl w:val="AB1CBEF6"/>
    <w:lvl w:ilvl="0" w:tplc="5CB02508">
      <w:start w:val="1"/>
      <w:numFmt w:val="bullet"/>
      <w:lvlText w:val="-"/>
      <w:lvlJc w:val="left"/>
      <w:pPr>
        <w:ind w:left="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C2E47A8">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7D78FE94">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00D2E2AE">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862130C">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10AE2940">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E2E4ED44">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0E0D20E">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08983148">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1A260E5"/>
    <w:multiLevelType w:val="hybridMultilevel"/>
    <w:tmpl w:val="E94EFB0A"/>
    <w:lvl w:ilvl="0" w:tplc="527E15B6">
      <w:start w:val="1"/>
      <w:numFmt w:val="bullet"/>
      <w:lvlText w:val="-"/>
      <w:lvlJc w:val="left"/>
      <w:pPr>
        <w:ind w:left="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EE2DD72">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00CA9162">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D9BEFB04">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CAE94EA">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7B6A14FC">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68F4F8AE">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0DCDA82">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634496A4">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C1D6588"/>
    <w:multiLevelType w:val="hybridMultilevel"/>
    <w:tmpl w:val="2584AF24"/>
    <w:lvl w:ilvl="0" w:tplc="556EF7DA">
      <w:start w:val="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7556567">
    <w:abstractNumId w:val="1"/>
  </w:num>
  <w:num w:numId="2" w16cid:durableId="1941983410">
    <w:abstractNumId w:val="4"/>
  </w:num>
  <w:num w:numId="3" w16cid:durableId="1314141296">
    <w:abstractNumId w:val="2"/>
  </w:num>
  <w:num w:numId="4" w16cid:durableId="2087220933">
    <w:abstractNumId w:val="0"/>
  </w:num>
  <w:num w:numId="5" w16cid:durableId="1626422495">
    <w:abstractNumId w:val="5"/>
  </w:num>
  <w:num w:numId="6" w16cid:durableId="813983114">
    <w:abstractNumId w:val="3"/>
  </w:num>
  <w:num w:numId="7" w16cid:durableId="1469081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C78"/>
    <w:rsid w:val="0001629A"/>
    <w:rsid w:val="00042D89"/>
    <w:rsid w:val="000A235F"/>
    <w:rsid w:val="000B439F"/>
    <w:rsid w:val="001C2C78"/>
    <w:rsid w:val="001F7714"/>
    <w:rsid w:val="002F0B2C"/>
    <w:rsid w:val="003B1682"/>
    <w:rsid w:val="003C154F"/>
    <w:rsid w:val="003D31C9"/>
    <w:rsid w:val="00402474"/>
    <w:rsid w:val="00405BAF"/>
    <w:rsid w:val="004509AD"/>
    <w:rsid w:val="004A2CFB"/>
    <w:rsid w:val="005B4296"/>
    <w:rsid w:val="005C01BC"/>
    <w:rsid w:val="00606495"/>
    <w:rsid w:val="006A6962"/>
    <w:rsid w:val="006F794F"/>
    <w:rsid w:val="00791170"/>
    <w:rsid w:val="007C1D88"/>
    <w:rsid w:val="009350EC"/>
    <w:rsid w:val="00983901"/>
    <w:rsid w:val="009C4ADB"/>
    <w:rsid w:val="00A44349"/>
    <w:rsid w:val="00B57B12"/>
    <w:rsid w:val="00C104F5"/>
    <w:rsid w:val="00C1774F"/>
    <w:rsid w:val="00C80C3F"/>
    <w:rsid w:val="00CA1851"/>
    <w:rsid w:val="00CA662A"/>
    <w:rsid w:val="00D114E3"/>
    <w:rsid w:val="00D34EBB"/>
    <w:rsid w:val="00DA67A0"/>
    <w:rsid w:val="00DD35D2"/>
    <w:rsid w:val="00DE6040"/>
    <w:rsid w:val="00E26828"/>
    <w:rsid w:val="00E64040"/>
    <w:rsid w:val="00E70BC2"/>
    <w:rsid w:val="00EB10DD"/>
    <w:rsid w:val="00EF02DA"/>
    <w:rsid w:val="00F11EEC"/>
    <w:rsid w:val="00F64AF5"/>
    <w:rsid w:val="00FC5A16"/>
    <w:rsid w:val="00FF6D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5D01BDA"/>
  <w15:docId w15:val="{EDE78D95-3737-294F-9698-EDF9564A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0" w:line="259" w:lineRule="auto"/>
      <w:outlineLvl w:val="1"/>
    </w:pPr>
    <w:rPr>
      <w:rFonts w:ascii="Arial" w:eastAsia="Arial" w:hAnsi="Arial" w:cs="Arial"/>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paragraph" w:styleId="Footer">
    <w:name w:val="footer"/>
    <w:basedOn w:val="Normal"/>
    <w:link w:val="FooterChar"/>
    <w:uiPriority w:val="99"/>
    <w:unhideWhenUsed/>
    <w:rsid w:val="003D3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1C9"/>
    <w:rPr>
      <w:rFonts w:ascii="Arial" w:eastAsia="Arial" w:hAnsi="Arial" w:cs="Arial"/>
      <w:color w:val="000000"/>
      <w:sz w:val="22"/>
    </w:rPr>
  </w:style>
  <w:style w:type="paragraph" w:styleId="ListParagraph">
    <w:name w:val="List Paragraph"/>
    <w:basedOn w:val="Normal"/>
    <w:uiPriority w:val="34"/>
    <w:qFormat/>
    <w:rsid w:val="000A2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1043</Words>
  <Characters>5946</Characters>
  <Application>Microsoft Office Word</Application>
  <DocSecurity>0</DocSecurity>
  <Lines>49</Lines>
  <Paragraphs>13</Paragraphs>
  <ScaleCrop>false</ScaleCrop>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Artist-Direct Grants_Overview, Eligibility + Expenses</dc:title>
  <dc:subject/>
  <dc:creator>Jenna Faye Powell</dc:creator>
  <cp:keywords/>
  <cp:lastModifiedBy>Jenna Faye Powell</cp:lastModifiedBy>
  <cp:revision>30</cp:revision>
  <dcterms:created xsi:type="dcterms:W3CDTF">2025-12-09T19:17:00Z</dcterms:created>
  <dcterms:modified xsi:type="dcterms:W3CDTF">2025-12-12T17:01:00Z</dcterms:modified>
</cp:coreProperties>
</file>